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3145" w14:textId="292894F5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</w:p>
    <w:p w14:paraId="25466687" w14:textId="75A7E926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</w:t>
      </w:r>
      <w:r w:rsidR="00B0254F">
        <w:rPr>
          <w:rFonts w:asciiTheme="minorHAnsi" w:hAnsiTheme="minorHAnsi" w:cstheme="minorHAnsi"/>
          <w:b/>
          <w:bCs/>
          <w:sz w:val="23"/>
          <w:szCs w:val="23"/>
          <w:lang w:val="en-GB"/>
        </w:rPr>
        <w:t>TA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</w:t>
      </w:r>
      <w:proofErr w:type="spellStart"/>
      <w:r w:rsidR="00B0254F">
        <w:rPr>
          <w:rFonts w:asciiTheme="minorHAnsi" w:hAnsiTheme="minorHAnsi" w:cstheme="minorHAnsi"/>
          <w:b/>
          <w:bCs/>
          <w:sz w:val="23"/>
          <w:szCs w:val="23"/>
          <w:lang w:val="en-GB"/>
        </w:rPr>
        <w:t>výukový</w:t>
      </w:r>
      <w:proofErr w:type="spellEnd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</w:t>
      </w:r>
      <w:proofErr w:type="spellStart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pobyt</w:t>
      </w:r>
      <w:proofErr w:type="spellEnd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00248C70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5A394F">
        <w:rPr>
          <w:rFonts w:asciiTheme="minorHAnsi" w:hAnsiTheme="minorHAnsi" w:cstheme="minorHAnsi"/>
          <w:sz w:val="23"/>
          <w:szCs w:val="23"/>
          <w:lang w:val="nl-BE"/>
        </w:rPr>
        <w:t>5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A394F">
        <w:rPr>
          <w:rFonts w:asciiTheme="minorHAnsi" w:hAnsiTheme="minorHAnsi" w:cstheme="minorHAnsi"/>
          <w:sz w:val="23"/>
          <w:szCs w:val="23"/>
          <w:lang w:val="nl-BE"/>
        </w:rPr>
        <w:t>313893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4C476F9B" w:rsidR="00F71AF0" w:rsidRPr="00785D26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A394F">
        <w:rPr>
          <w:rFonts w:asciiTheme="minorHAnsi" w:hAnsiTheme="minorHAnsi" w:cstheme="minorHAnsi"/>
          <w:sz w:val="21"/>
          <w:szCs w:val="21"/>
          <w:lang w:val="nl-BE"/>
        </w:rPr>
        <w:t>5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A394F">
        <w:rPr>
          <w:rFonts w:asciiTheme="minorHAnsi" w:hAnsiTheme="minorHAnsi" w:cstheme="minorHAnsi"/>
          <w:sz w:val="21"/>
          <w:szCs w:val="21"/>
          <w:lang w:val="nl-BE"/>
        </w:rPr>
        <w:t>6</w:t>
      </w:r>
    </w:p>
    <w:p w14:paraId="1D4BD57F" w14:textId="3EEF859B" w:rsidR="000A62E3" w:rsidRPr="00785D26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785D26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785D26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785D26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785D26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785D26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785D26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785D26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549C8408" w:rsidR="00093B4C" w:rsidRPr="00785D26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B2012D" w:rsidRPr="00785D26">
        <w:rPr>
          <w:rFonts w:asciiTheme="minorHAnsi" w:hAnsiTheme="minorHAnsi" w:cstheme="minorHAnsi"/>
          <w:sz w:val="21"/>
          <w:szCs w:val="21"/>
          <w:lang w:val="pl-PL"/>
        </w:rPr>
        <w:t>vinicka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5586F02A" w:rsidR="00F9359A" w:rsidRPr="00266375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B2012D" w:rsidRPr="009C6282">
        <w:rPr>
          <w:rFonts w:asciiTheme="minorHAnsi" w:hAnsiTheme="minorHAnsi" w:cstheme="minorHAnsi"/>
          <w:sz w:val="21"/>
          <w:szCs w:val="21"/>
          <w:lang w:val="cs-CZ" w:bidi="cs-CZ"/>
        </w:rPr>
        <w:t>Mgr. Kateřinou Vinickou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785D26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F47E50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F47E50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266375" w:rsidRDefault="00487FAD" w:rsidP="00B60DB4">
            <w:pPr>
              <w:rPr>
                <w:rFonts w:asciiTheme="minorHAnsi" w:hAnsiTheme="minorHAnsi" w:cstheme="minorHAnsi"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Adresa trvalého bydliště</w:t>
            </w:r>
            <w:r w:rsidRPr="00266375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266375" w:rsidRDefault="00487FAD" w:rsidP="003F536D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46"/>
        <w:gridCol w:w="7218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8713B2" w:rsidRDefault="00487FAD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3F536D" w:rsidRDefault="00C8470D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5509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7FAD" w:rsidRPr="00F47E50" w14:paraId="17FB6AAA" w14:textId="77777777" w:rsidTr="00B2012D">
        <w:tc>
          <w:tcPr>
            <w:tcW w:w="1975" w:type="dxa"/>
            <w:gridSpan w:val="2"/>
          </w:tcPr>
          <w:p w14:paraId="063CD788" w14:textId="01412A0C" w:rsidR="00487FAD" w:rsidRPr="003F536D" w:rsidRDefault="00B2012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Katedra/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ústav</w:t>
            </w:r>
            <w:proofErr w:type="spellEnd"/>
            <w:r w:rsidR="00487FAD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="00487FAD"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67252B4F" w14:textId="27AB2EA3" w:rsidR="00487FAD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3E8AC303" w14:textId="77777777" w:rsidTr="00B2012D">
        <w:tc>
          <w:tcPr>
            <w:tcW w:w="1975" w:type="dxa"/>
            <w:gridSpan w:val="2"/>
          </w:tcPr>
          <w:p w14:paraId="4299BB0A" w14:textId="77777777" w:rsidR="00401270" w:rsidRPr="00266375" w:rsidRDefault="00401270" w:rsidP="00B60DB4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Služební věk:</w:t>
            </w:r>
          </w:p>
          <w:p w14:paraId="22CDD6F3" w14:textId="67AA10A6" w:rsidR="00401270" w:rsidRPr="00266375" w:rsidRDefault="00401270" w:rsidP="00B60DB4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(počet let na JU)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41985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4DBBF3F4" w14:textId="014BC1C4" w:rsidR="00401270" w:rsidRPr="00266375" w:rsidRDefault="00401270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2213A3F" w14:textId="682B2A6F" w:rsidR="00886A0A" w:rsidRPr="00785D26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Výše uvedené strany se dohodly na uzavření této smlouvy</w:t>
      </w:r>
      <w:r w:rsidR="00886A0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F47E50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ID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kód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je k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dispozici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79A82A8E" w14:textId="77777777" w:rsidTr="00B56DD5">
        <w:tc>
          <w:tcPr>
            <w:tcW w:w="2825" w:type="dxa"/>
            <w:vAlign w:val="center"/>
          </w:tcPr>
          <w:p w14:paraId="17B6E881" w14:textId="335F5EFF" w:rsidR="00401270" w:rsidRPr="008713B2" w:rsidRDefault="00401270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Adresa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2059120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F02634B" w14:textId="6C690A29" w:rsidR="00401270" w:rsidRPr="00266375" w:rsidRDefault="00401270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4D8687D0" w14:textId="77777777" w:rsidTr="00B56DD5">
        <w:tc>
          <w:tcPr>
            <w:tcW w:w="2825" w:type="dxa"/>
            <w:vAlign w:val="center"/>
          </w:tcPr>
          <w:p w14:paraId="05EA74CD" w14:textId="77777777" w:rsidR="00886A0A" w:rsidRPr="008713B2" w:rsidRDefault="00886A0A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  <w:p w14:paraId="5A53C2DD" w14:textId="1C17BE40" w:rsidR="009C6282" w:rsidRPr="008713B2" w:rsidRDefault="009C6282" w:rsidP="009C6282">
            <w:pPr>
              <w:spacing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(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dle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cestovního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příkazu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bookmarkEnd w:id="0"/>
      <w:tr w:rsidR="009C6282" w:rsidRPr="00F47E50" w14:paraId="68C09CE1" w14:textId="77777777" w:rsidTr="00B56DD5">
        <w:tc>
          <w:tcPr>
            <w:tcW w:w="2825" w:type="dxa"/>
            <w:vAlign w:val="center"/>
          </w:tcPr>
          <w:p w14:paraId="793C3874" w14:textId="77777777" w:rsidR="009C6282" w:rsidRPr="00785D26" w:rsidRDefault="009C6282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Termíny mobility:</w:t>
            </w:r>
          </w:p>
          <w:p w14:paraId="2D88EDC4" w14:textId="164EB194" w:rsidR="009C6282" w:rsidRPr="00785D26" w:rsidRDefault="009C6282" w:rsidP="009C628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(pracovní dny, bez dnů cesty)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-1911229312"/>
            <w:placeholder>
              <w:docPart w:val="48A147EDF8704814BBC930CF7E46A411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91654D0" w14:textId="63FF42EB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9C6282" w:rsidRPr="00F47E50" w14:paraId="0A915A2A" w14:textId="77777777" w:rsidTr="00B56DD5">
        <w:tc>
          <w:tcPr>
            <w:tcW w:w="2825" w:type="dxa"/>
            <w:vAlign w:val="center"/>
          </w:tcPr>
          <w:p w14:paraId="47523649" w14:textId="77777777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Použitý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dopravní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prostředek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  <w:p w14:paraId="50F422B3" w14:textId="3280BD2B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E7EF5BAF00794A9D98A4FF345B28ACD1"/>
              </w:placeholder>
              <w:showingPlcHdr/>
              <w:text/>
            </w:sdtPr>
            <w:sdtEndPr/>
            <w:sdtContent>
              <w:p w14:paraId="394D6B68" w14:textId="77777777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sdtContent>
          </w:sdt>
          <w:p w14:paraId="40E41F4B" w14:textId="7A96953B" w:rsidR="009C6282" w:rsidRPr="00266375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Pozn.: V případě, že účastník využije pro hlavní část cesty (pro většinu cesty tam i zpět) udržitelný dopravní prostředek (vlak, autobus, kolo, sdílený automobil), a účastník zde využití udržitelného dopravního prostředku </w:t>
            </w:r>
            <w:r w:rsidRPr="0026637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pl-PL"/>
              </w:rPr>
              <w:t>prohlásí a potvrdí</w:t>
            </w:r>
            <w:r w:rsidR="005A394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pl-PL"/>
              </w:rPr>
              <w:t xml:space="preserve"> podpisem této smlouvy</w:t>
            </w: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, získává nárok na vyšší finanční podporu na cestovní náklady včetně až 4 dnů dalších pobytových nákladů za účelem pokrytí nákladů na zpáteční cestu.  </w:t>
            </w:r>
          </w:p>
        </w:tc>
      </w:tr>
    </w:tbl>
    <w:p w14:paraId="3CDE5656" w14:textId="7DE7E6CD" w:rsidR="00F9359A" w:rsidRPr="00785D26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lastRenderedPageBreak/>
        <w:t xml:space="preserve">Smlouva je složena: </w:t>
      </w:r>
    </w:p>
    <w:p w14:paraId="38A2EE7E" w14:textId="64D1BEE1" w:rsidR="00F9359A" w:rsidRPr="00785D26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32FCF1FE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>Program mobility zaměstnanců na výukový pobyt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2BFD7167" w:rsidR="007650F8" w:rsidRPr="003B1589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Příloha 2: Doklad o pojistném krytí (týká se mobilit, u nichž je za uzavření pojištění odpovědný účastník)</w:t>
      </w:r>
    </w:p>
    <w:p w14:paraId="4AFE48E6" w14:textId="22620A23" w:rsidR="001777C5" w:rsidRPr="00785D26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785D26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E8076A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E8076A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E8076A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E8076A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360BAAF8" w14:textId="4D1949DE" w:rsidR="00800A44" w:rsidRPr="008F4FFF" w:rsidRDefault="00E8076A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6114D6B0" w:rsidR="00800A44" w:rsidRPr="008F4FFF" w:rsidRDefault="00E8076A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E8076A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0A5A3C0E" w:rsidR="00800A44" w:rsidRPr="008F4FFF" w:rsidRDefault="00E8076A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E8076A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E8076A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E8076A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E8076A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4C89A35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E5657E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55DFE6B" w14:textId="6FC77D4E" w:rsidR="00F96310" w:rsidRPr="00441762" w:rsidRDefault="00C40615" w:rsidP="0044176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1F5FDB5" w14:textId="514A81E8" w:rsidR="000E502A" w:rsidRPr="00785D26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pl-PL"/>
        </w:rPr>
        <w:t>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055BD34" w:rsidR="00EF12F7" w:rsidRPr="00785D26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pl-PL"/>
        </w:rPr>
        <w:t>2</w:t>
      </w:r>
      <w:r w:rsidR="001C7D24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785D26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785D26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7E8CA3B1" w14:textId="34F446F9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dny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na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cestu</w:t>
      </w:r>
      <w:proofErr w:type="spellEnd"/>
    </w:p>
    <w:p w14:paraId="38A0379D" w14:textId="5BAEA495" w:rsidR="00EF12F7" w:rsidRPr="003B1589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virtuální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část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D338EA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(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relevantní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v 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případě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kombinované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mobility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) </w:t>
      </w:r>
    </w:p>
    <w:p w14:paraId="3B256DA8" w14:textId="06E31934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en-GB"/>
        </w:rPr>
        <w:t>3</w:t>
      </w:r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4E7356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potvrzení o </w:t>
      </w:r>
      <w:r w:rsidR="00BE7DC1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účasti na mobilitě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Teaching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D15E25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1E3509B" w14:textId="0235B3C8" w:rsidR="00FC4D2E" w:rsidRPr="00785D26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</w:t>
      </w:r>
      <w:r w:rsidR="0044176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A DALŠÍ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PODPORA </w:t>
      </w:r>
    </w:p>
    <w:p w14:paraId="3F0045A2" w14:textId="3C261FA4" w:rsidR="00322E1A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785D26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441762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FF6B25E" w14:textId="6B38F2CC" w:rsidR="005A394F" w:rsidRPr="003B1589" w:rsidRDefault="005A394F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3.2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Prostředky finanční podpory jsou formou zálohy a v rámci vyúčtování cestovního příkazu převáděny na bankovní účet shodný s bankovním účtem, na jaký jsou účastníkovi převáděny mzdové prostředky. </w:t>
      </w:r>
    </w:p>
    <w:p w14:paraId="3BC4BEE3" w14:textId="3A1E390E" w:rsidR="002B2378" w:rsidRPr="00785D26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lastRenderedPageBreak/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D30767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22BBF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E7356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 </w:t>
      </w:r>
      <w:r w:rsidR="00D338EA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239CA530" w14:textId="68070D87" w:rsidR="009112D1" w:rsidRP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  <w:gridCol w:w="1552"/>
      </w:tblGrid>
      <w:tr w:rsidR="009112D1" w14:paraId="6DBDE9E8" w14:textId="77777777" w:rsidTr="009112D1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313B04E" w14:textId="3914607C" w:rsidR="009112D1" w:rsidRPr="009112D1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5F76F3" w14:textId="2901C8F7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do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14. </w:t>
            </w: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dne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A634795" w14:textId="094846AA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15.-60. den</w:t>
            </w:r>
          </w:p>
        </w:tc>
      </w:tr>
      <w:tr w:rsidR="009112D1" w14:paraId="3C95A9E4" w14:textId="77777777" w:rsidTr="009112D1">
        <w:tc>
          <w:tcPr>
            <w:tcW w:w="5524" w:type="dxa"/>
          </w:tcPr>
          <w:p w14:paraId="29C34DC3" w14:textId="302617DB" w:rsidR="009112D1" w:rsidRPr="00785D26" w:rsidRDefault="00A764D8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Belgie,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Dánsko, Finsko,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Francie,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Island, Irsko,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Itálie,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Lichtenštejnsko, Lucembursko,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Německo, Nizozemsko,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Norsko,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Rakousko,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Švédsko</w:t>
            </w:r>
          </w:p>
        </w:tc>
        <w:tc>
          <w:tcPr>
            <w:tcW w:w="1559" w:type="dxa"/>
            <w:vAlign w:val="center"/>
          </w:tcPr>
          <w:p w14:paraId="448AFBA5" w14:textId="2D507E7A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153 EUR/den</w:t>
            </w:r>
          </w:p>
        </w:tc>
        <w:tc>
          <w:tcPr>
            <w:tcW w:w="1553" w:type="dxa"/>
            <w:vAlign w:val="center"/>
          </w:tcPr>
          <w:p w14:paraId="22E4BF90" w14:textId="1132430C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107,1 EUR/den</w:t>
            </w:r>
          </w:p>
        </w:tc>
      </w:tr>
      <w:tr w:rsidR="009112D1" w14:paraId="2CF1EB2F" w14:textId="77777777" w:rsidTr="009112D1">
        <w:tc>
          <w:tcPr>
            <w:tcW w:w="5524" w:type="dxa"/>
          </w:tcPr>
          <w:p w14:paraId="54A35A9B" w14:textId="4D107ED8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Kypr, </w:t>
            </w:r>
            <w:r w:rsidR="0078028D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Česko,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Estonsko, Lotyšsko,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Malta,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P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ortugalsko, Řecko,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Slovensko, Slovinsko,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Španělsko</w:t>
            </w:r>
          </w:p>
        </w:tc>
        <w:tc>
          <w:tcPr>
            <w:tcW w:w="1559" w:type="dxa"/>
            <w:vAlign w:val="center"/>
          </w:tcPr>
          <w:p w14:paraId="19D7D0CA" w14:textId="6B18CDA2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136 EUR/den</w:t>
            </w:r>
          </w:p>
        </w:tc>
        <w:tc>
          <w:tcPr>
            <w:tcW w:w="1553" w:type="dxa"/>
            <w:vAlign w:val="center"/>
          </w:tcPr>
          <w:p w14:paraId="07719F1E" w14:textId="41973167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95,2 EUR/den</w:t>
            </w:r>
          </w:p>
        </w:tc>
      </w:tr>
      <w:tr w:rsidR="009112D1" w14:paraId="27101E44" w14:textId="77777777" w:rsidTr="009112D1">
        <w:tc>
          <w:tcPr>
            <w:tcW w:w="5524" w:type="dxa"/>
          </w:tcPr>
          <w:p w14:paraId="0C04FC26" w14:textId="43AD16EF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1559" w:type="dxa"/>
            <w:vAlign w:val="center"/>
          </w:tcPr>
          <w:p w14:paraId="3649F002" w14:textId="1AACFEEB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119 EUR/den</w:t>
            </w:r>
          </w:p>
        </w:tc>
        <w:tc>
          <w:tcPr>
            <w:tcW w:w="1553" w:type="dxa"/>
            <w:vAlign w:val="center"/>
          </w:tcPr>
          <w:p w14:paraId="4D894B07" w14:textId="471C147D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83,3 EUR/den</w:t>
            </w:r>
          </w:p>
        </w:tc>
      </w:tr>
    </w:tbl>
    <w:p w14:paraId="16A87434" w14:textId="7A17EE3C" w:rsid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9112D1">
        <w:rPr>
          <w:rFonts w:asciiTheme="minorHAnsi" w:hAnsiTheme="minorHAnsi" w:cstheme="minorHAnsi"/>
          <w:iCs/>
          <w:sz w:val="21"/>
          <w:szCs w:val="21"/>
          <w:lang w:val="en-US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9112D1" w:rsidRPr="00F47E50" w14:paraId="7EBD1C00" w14:textId="77777777" w:rsidTr="00B65986">
        <w:tc>
          <w:tcPr>
            <w:tcW w:w="2876" w:type="dxa"/>
            <w:vAlign w:val="center"/>
          </w:tcPr>
          <w:p w14:paraId="6BBBAEB4" w14:textId="1C895A4D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vAlign w:val="center"/>
          </w:tcPr>
          <w:p w14:paraId="1A2A2807" w14:textId="10EE8423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vAlign w:val="center"/>
          </w:tcPr>
          <w:p w14:paraId="5E4E591A" w14:textId="51FC3E26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9112D1" w14:paraId="4A784E31" w14:textId="77777777" w:rsidTr="00B65986">
        <w:tc>
          <w:tcPr>
            <w:tcW w:w="2876" w:type="dxa"/>
            <w:vAlign w:val="center"/>
          </w:tcPr>
          <w:p w14:paraId="37E818DF" w14:textId="456F9377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vAlign w:val="center"/>
          </w:tcPr>
          <w:p w14:paraId="5E0EFA01" w14:textId="34593B1B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7F99CDC7" w14:textId="672472CC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9112D1" w14:paraId="5C34A3F1" w14:textId="77777777" w:rsidTr="00B65986">
        <w:tc>
          <w:tcPr>
            <w:tcW w:w="2876" w:type="dxa"/>
            <w:vAlign w:val="center"/>
          </w:tcPr>
          <w:p w14:paraId="045C943B" w14:textId="67DC516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vAlign w:val="center"/>
          </w:tcPr>
          <w:p w14:paraId="6EAF5A85" w14:textId="2C634E3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58309E45" w14:textId="4827C8F1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224D3C50" w14:textId="77777777" w:rsidTr="00B65986">
        <w:tc>
          <w:tcPr>
            <w:tcW w:w="2876" w:type="dxa"/>
            <w:vAlign w:val="center"/>
          </w:tcPr>
          <w:p w14:paraId="6A823D73" w14:textId="30133ED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vAlign w:val="center"/>
          </w:tcPr>
          <w:p w14:paraId="217C4A02" w14:textId="19FB4CD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382FF16A" w14:textId="26F5A67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83D9D27" w14:textId="77777777" w:rsidTr="00B65986">
        <w:tc>
          <w:tcPr>
            <w:tcW w:w="2876" w:type="dxa"/>
            <w:vAlign w:val="center"/>
          </w:tcPr>
          <w:p w14:paraId="080F8383" w14:textId="243B424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vAlign w:val="center"/>
          </w:tcPr>
          <w:p w14:paraId="5634DFC7" w14:textId="673A78D8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4579AF0F" w14:textId="6470264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E55CC92" w14:textId="77777777" w:rsidTr="00B65986">
        <w:tc>
          <w:tcPr>
            <w:tcW w:w="2876" w:type="dxa"/>
            <w:vAlign w:val="center"/>
          </w:tcPr>
          <w:p w14:paraId="1EC2BEAE" w14:textId="68DBF99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vAlign w:val="center"/>
          </w:tcPr>
          <w:p w14:paraId="3019E710" w14:textId="7372748C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0 EUR</w:t>
            </w:r>
          </w:p>
        </w:tc>
        <w:tc>
          <w:tcPr>
            <w:tcW w:w="2875" w:type="dxa"/>
            <w:vAlign w:val="center"/>
          </w:tcPr>
          <w:p w14:paraId="6CC22016" w14:textId="5C497C79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1A34D5C5" w14:textId="77777777" w:rsidTr="00FB613B">
        <w:tc>
          <w:tcPr>
            <w:tcW w:w="287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C96027C" w14:textId="7BF1204D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1EA3C37" w14:textId="05929A0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14FCD9" w14:textId="1F2A697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9112D1" w14:paraId="622E20E9" w14:textId="77777777" w:rsidTr="00B65986">
        <w:tc>
          <w:tcPr>
            <w:tcW w:w="2876" w:type="dxa"/>
            <w:vAlign w:val="center"/>
          </w:tcPr>
          <w:p w14:paraId="77F99E3C" w14:textId="4169BC2E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vAlign w:val="center"/>
          </w:tcPr>
          <w:p w14:paraId="3E38626D" w14:textId="16059A85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</w:t>
            </w:r>
            <w:r w:rsidR="000914B8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735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1424C88A" w14:textId="1D289E5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29649C28" w14:textId="5C441F6E" w:rsidR="000914B8" w:rsidRDefault="00A764D8" w:rsidP="000914B8">
      <w:pPr>
        <w:spacing w:before="18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Účastník obdrží finanční podporu</w:t>
      </w:r>
      <w:r w:rsidR="0078028D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ze zdroje EU Erasmus+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na dobu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(počet dní se rovná fyzické délce mobility), přičemž finanční podpora ze zdroje EU Erasmus+ bude poskytnuta na min. 2 dny, pokud se nejedná o účastníka s nulovým grantem (EU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zero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-grant). </w:t>
      </w:r>
    </w:p>
    <w:p w14:paraId="629DBF26" w14:textId="39C9FC65" w:rsidR="00F20F85" w:rsidRPr="00F20F85" w:rsidRDefault="00A764D8" w:rsidP="00F20F85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V případě potřeby může individuální podpora na pokrytí pobytových nákladů zahrnovat i dobu cesty před zahájením a po skončení aktivity, nejvýše však dva dny na cestu v případě účastníků, kteří obdrží podporu na standardní (tj. nikoliv ekologicky šetrnou) cestu, a nejvýše šest dnů v případě účastníků, kteří obdrží podporu na ekologicky šetrné cestování. Tuto potřebu deklaruje účastník na úvodní straně smlouvy uvedením termínů mobility dle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žádně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 schváleného cestovního příkazu. 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 xml:space="preserve">V souladu s deklarovanou potřebou finanční podpory na dny na cestu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může </w:t>
      </w:r>
      <w:r w:rsidR="008713B2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častník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obdržet 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finanční podporu na 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dny na cestu.</w:t>
      </w:r>
    </w:p>
    <w:p w14:paraId="6B9772C8" w14:textId="66A58DBB" w:rsidR="00F20F85" w:rsidRDefault="00F20F85" w:rsidP="00C86C1F">
      <w:pPr>
        <w:spacing w:before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F20F85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Maximální výše finanční podpory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ze zdroje EU Erasmus+ k uskutečnění mobility, která je předmětem smlouvy:</w:t>
      </w:r>
    </w:p>
    <w:tbl>
      <w:tblPr>
        <w:tblStyle w:val="Svtltabulkasmkou1"/>
        <w:tblW w:w="8499" w:type="dxa"/>
        <w:tblInd w:w="562" w:type="dxa"/>
        <w:tblBorders>
          <w:top w:val="single" w:sz="8" w:space="0" w:color="999999" w:themeColor="text1" w:themeTint="66"/>
          <w:left w:val="single" w:sz="8" w:space="0" w:color="999999" w:themeColor="text1" w:themeTint="66"/>
          <w:bottom w:val="single" w:sz="8" w:space="0" w:color="999999" w:themeColor="text1" w:themeTint="66"/>
          <w:right w:val="single" w:sz="8" w:space="0" w:color="999999" w:themeColor="text1" w:themeTint="66"/>
          <w:insideH w:val="single" w:sz="8" w:space="0" w:color="999999" w:themeColor="text1" w:themeTint="66"/>
          <w:insideV w:val="single" w:sz="8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4248"/>
        <w:gridCol w:w="2126"/>
        <w:gridCol w:w="2125"/>
      </w:tblGrid>
      <w:tr w:rsidR="00C86C1F" w14:paraId="016D4376" w14:textId="77777777" w:rsidTr="003C3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  <w:vAlign w:val="center"/>
            <w:hideMark/>
          </w:tcPr>
          <w:p w14:paraId="288FF942" w14:textId="77777777" w:rsidR="00C86C1F" w:rsidRPr="00C86C1F" w:rsidRDefault="00C86C1F">
            <w:pPr>
              <w:jc w:val="center"/>
              <w:rPr>
                <w:snapToGrid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Kategorie finanční podpory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  <w:hideMark/>
          </w:tcPr>
          <w:p w14:paraId="365A348A" w14:textId="7777777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Denní sazba/ vzdálenost</w:t>
            </w:r>
          </w:p>
        </w:tc>
        <w:tc>
          <w:tcPr>
            <w:tcW w:w="2125" w:type="dxa"/>
            <w:tcBorders>
              <w:bottom w:val="none" w:sz="0" w:space="0" w:color="auto"/>
            </w:tcBorders>
            <w:vAlign w:val="center"/>
            <w:hideMark/>
          </w:tcPr>
          <w:p w14:paraId="0357285F" w14:textId="77777777" w:rsidR="003C3FD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highlight w:val="cyan"/>
                <w:lang w:val="cs-CZ" w:eastAsia="cs-CZ"/>
              </w:rPr>
            </w:pPr>
            <w:r w:rsidRPr="00C86C1F">
              <w:rPr>
                <w:highlight w:val="cyan"/>
                <w:lang w:val="cs-CZ" w:eastAsia="cs-CZ"/>
              </w:rPr>
              <w:t xml:space="preserve">Max. výše </w:t>
            </w:r>
          </w:p>
          <w:p w14:paraId="3D9E6AA0" w14:textId="4C91758B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cs-CZ" w:eastAsia="cs-CZ"/>
              </w:rPr>
            </w:pPr>
            <w:proofErr w:type="spellStart"/>
            <w:r w:rsidRPr="00C86C1F">
              <w:rPr>
                <w:highlight w:val="cyan"/>
                <w:lang w:val="cs-CZ" w:eastAsia="cs-CZ"/>
              </w:rPr>
              <w:t>fin</w:t>
            </w:r>
            <w:proofErr w:type="spellEnd"/>
            <w:r>
              <w:rPr>
                <w:highlight w:val="cyan"/>
                <w:lang w:val="cs-CZ" w:eastAsia="cs-CZ"/>
              </w:rPr>
              <w:t>.</w:t>
            </w:r>
            <w:r w:rsidRPr="00C86C1F">
              <w:rPr>
                <w:highlight w:val="cyan"/>
                <w:lang w:val="cs-CZ" w:eastAsia="cs-CZ"/>
              </w:rPr>
              <w:t xml:space="preserve"> podpory</w:t>
            </w:r>
          </w:p>
        </w:tc>
      </w:tr>
      <w:tr w:rsidR="00C86C1F" w14:paraId="4715DE6C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57C1B658" w14:textId="77777777" w:rsidR="00C86C1F" w:rsidRPr="003C3FDF" w:rsidRDefault="00C86C1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Pobytové náklady na 1.-14. pracovní den</w:t>
            </w:r>
          </w:p>
        </w:tc>
        <w:tc>
          <w:tcPr>
            <w:tcW w:w="2126" w:type="dxa"/>
            <w:vAlign w:val="center"/>
            <w:hideMark/>
          </w:tcPr>
          <w:p w14:paraId="3D7D3BD1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086C8ACF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23B18163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2D02AA0E" w14:textId="77777777" w:rsidR="00C86C1F" w:rsidRPr="003C3FDF" w:rsidRDefault="00C86C1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Pobytové náklady na 15.-60. den</w:t>
            </w:r>
          </w:p>
        </w:tc>
        <w:tc>
          <w:tcPr>
            <w:tcW w:w="2126" w:type="dxa"/>
            <w:vAlign w:val="center"/>
            <w:hideMark/>
          </w:tcPr>
          <w:p w14:paraId="5A42A63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49F0531E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508A94D2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39042CCF" w14:textId="0A76B73A" w:rsidR="00C86C1F" w:rsidRPr="003C3FDF" w:rsidRDefault="003C3FD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</w:t>
            </w: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 xml:space="preserve">obytové náklady na </w:t>
            </w:r>
            <w:r w:rsidR="00C86C1F"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dny na cestu</w:t>
            </w:r>
          </w:p>
        </w:tc>
        <w:tc>
          <w:tcPr>
            <w:tcW w:w="2126" w:type="dxa"/>
            <w:vAlign w:val="center"/>
            <w:hideMark/>
          </w:tcPr>
          <w:p w14:paraId="7037E54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2B64AE97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3C3FDF" w14:paraId="72F3791B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6B84599C" w14:textId="7BAFC718" w:rsidR="003C3FDF" w:rsidRPr="00C86C1F" w:rsidRDefault="003C3FDF" w:rsidP="003C3FDF">
            <w:pPr>
              <w:jc w:val="both"/>
              <w:rPr>
                <w:rFonts w:asciiTheme="minorHAnsi" w:hAnsiTheme="minorHAnsi" w:cstheme="minorHAnsi"/>
                <w:highlight w:val="cyan"/>
                <w:lang w:val="cs-CZ" w:eastAsia="cs-CZ"/>
              </w:rPr>
            </w:pPr>
            <w:r>
              <w:rPr>
                <w:rFonts w:asciiTheme="minorHAnsi" w:hAnsiTheme="minorHAnsi" w:cstheme="minorHAnsi"/>
                <w:highlight w:val="cyan"/>
                <w:lang w:val="cs-CZ" w:eastAsia="cs-CZ"/>
              </w:rPr>
              <w:t>CELKEM pobytové náklady</w:t>
            </w:r>
          </w:p>
        </w:tc>
        <w:tc>
          <w:tcPr>
            <w:tcW w:w="2126" w:type="dxa"/>
            <w:vAlign w:val="center"/>
          </w:tcPr>
          <w:p w14:paraId="4F6EA04B" w14:textId="490732CD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</w:tcPr>
          <w:p w14:paraId="6208495E" w14:textId="3434D171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3C3FDF" w14:paraId="21EDE141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DB2A97F" w14:textId="290C3FA8" w:rsidR="003C3FDF" w:rsidRPr="003C3FDF" w:rsidRDefault="003C3FDF" w:rsidP="003C3FDF">
            <w:pPr>
              <w:jc w:val="both"/>
              <w:rPr>
                <w:rFonts w:asciiTheme="minorHAnsi" w:hAnsiTheme="minorHAnsi" w:cstheme="minorHAnsi"/>
                <w:bCs w:val="0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Cs w:val="0"/>
                <w:highlight w:val="cyan"/>
                <w:lang w:val="cs-CZ" w:eastAsia="cs-CZ"/>
              </w:rPr>
              <w:t>Cestovní náklady</w:t>
            </w:r>
          </w:p>
        </w:tc>
        <w:tc>
          <w:tcPr>
            <w:tcW w:w="2126" w:type="dxa"/>
            <w:vAlign w:val="center"/>
          </w:tcPr>
          <w:p w14:paraId="5A1D58BC" w14:textId="55F2C9A6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km</w:t>
            </w:r>
          </w:p>
        </w:tc>
        <w:tc>
          <w:tcPr>
            <w:tcW w:w="2125" w:type="dxa"/>
            <w:vAlign w:val="center"/>
          </w:tcPr>
          <w:p w14:paraId="32E1F7D8" w14:textId="5E2ED94B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</w:tbl>
    <w:p w14:paraId="4333FFCA" w14:textId="44EDF683" w:rsidR="00A764D8" w:rsidRPr="00C86C1F" w:rsidRDefault="00A764D8" w:rsidP="00C86C1F">
      <w:pPr>
        <w:spacing w:before="120" w:after="60"/>
        <w:ind w:left="567" w:hanging="516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86C1F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může podat žádost na prodloužení délky mobility v rámci </w:t>
      </w:r>
      <w:r w:rsidR="0078028D">
        <w:rPr>
          <w:rFonts w:asciiTheme="minorHAnsi" w:hAnsiTheme="minorHAnsi" w:cstheme="minorHAnsi"/>
          <w:sz w:val="21"/>
          <w:szCs w:val="21"/>
          <w:lang w:val="cs-CZ" w:bidi="cs-CZ"/>
        </w:rPr>
        <w:t>maximální povolené délky uvedené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v příručce programu Erasmus+</w:t>
      </w:r>
      <w:r w:rsidR="0078028D">
        <w:rPr>
          <w:rFonts w:asciiTheme="minorHAnsi" w:hAnsiTheme="minorHAnsi" w:cstheme="minorHAnsi"/>
          <w:sz w:val="21"/>
          <w:szCs w:val="21"/>
          <w:lang w:val="cs-CZ" w:bidi="cs-CZ"/>
        </w:rPr>
        <w:t xml:space="preserve"> 2025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>, tj. prodloužení délky mobility je možné za předpokladu, že celková délka mobility nepřesáhne 60 dní fyzické mobility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2022410A" w14:textId="5E581E40" w:rsidR="00675ACE" w:rsidRDefault="007740C9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>Neuznatelné náklady, resp. náklady převyšující rozpočtové kategorie pobytových a cestovních nákladů Erasmus+, nese fakulta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>/součást</w:t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6527E50" w14:textId="2AA674FA" w:rsidR="00567F0A" w:rsidRDefault="00675ACE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7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poskytovaná na: </w:t>
      </w:r>
      <w:r w:rsidR="0078028D" w:rsidRPr="0078028D">
        <w:rPr>
          <w:rFonts w:asciiTheme="minorHAnsi" w:hAnsiTheme="minorHAnsi" w:cstheme="minorHAnsi"/>
          <w:sz w:val="21"/>
          <w:szCs w:val="21"/>
          <w:highlight w:val="cyan"/>
          <w:lang w:val="cs-CZ"/>
        </w:rPr>
        <w:t>podpora inkluze, mimořádně vysoké cestovní náklady, cestovní náklady, navýšení pro účastníky s omezenými příležitostmi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B18AACF" w14:textId="7B126FB6" w:rsidR="00BD32F2" w:rsidRDefault="00BD32F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8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předložit 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je </w:t>
      </w:r>
      <w:r>
        <w:rPr>
          <w:rFonts w:asciiTheme="minorHAnsi" w:hAnsiTheme="minorHAnsi" w:cstheme="minorHAnsi"/>
          <w:sz w:val="21"/>
          <w:szCs w:val="21"/>
          <w:lang w:val="cs-CZ"/>
        </w:rPr>
        <w:t>organizaci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v rámci vyúčtování cestovního příkazu</w:t>
      </w:r>
      <w:r>
        <w:rPr>
          <w:rFonts w:asciiTheme="minorHAnsi" w:hAnsiTheme="minorHAnsi" w:cstheme="minorHAnsi"/>
          <w:sz w:val="21"/>
          <w:szCs w:val="21"/>
          <w:lang w:val="cs-CZ"/>
        </w:rPr>
        <w:t>. Účastník</w:t>
      </w:r>
      <w:r w:rsidR="00BD6CB6">
        <w:rPr>
          <w:rFonts w:asciiTheme="minorHAnsi" w:hAnsiTheme="minorHAnsi" w:cstheme="minorHAnsi"/>
          <w:sz w:val="21"/>
          <w:szCs w:val="21"/>
          <w:lang w:val="cs-CZ"/>
        </w:rPr>
        <w:t xml:space="preserve"> čestně prohlásí využití udržitelného dopravního prostředku vyplněním položky „použitý dopravní prostředek“ v preambuli této smlouvy.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 </w:t>
      </w:r>
    </w:p>
    <w:p w14:paraId="6F649083" w14:textId="183130DA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 w:rsidR="0078028D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NÁROK NA FINANČNÍ PODPORU</w:t>
      </w:r>
    </w:p>
    <w:p w14:paraId="552F9B95" w14:textId="31F5493F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>Účastník má nárok na finanční podporu podle výše uvedeného Článku 3, pokud se skutečně zúčastnil aktivity v období stanoveném v Článku 2. Pokud je finanční podpora založena na skutečných nákladech, musí být tyto náklady doloženy podpůrnými dokumenty, jako jsou faktury, účtenky apod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5D573DAD" w14:textId="5AA00C7E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328CEB8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</w:t>
      </w:r>
      <w:r w:rsidR="0078028D">
        <w:rPr>
          <w:rFonts w:asciiTheme="minorHAnsi" w:eastAsia="MS Gothic" w:hAnsiTheme="minorHAnsi" w:cstheme="minorHAnsi"/>
          <w:sz w:val="21"/>
          <w:szCs w:val="21"/>
          <w:lang w:val="cs-CZ"/>
        </w:rPr>
        <w:t>3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607EB378" w14:textId="35945CCC" w:rsidR="00D079DF" w:rsidRPr="00E075A5" w:rsidRDefault="009C13A7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k realizaci mobility poskytnuta záloha. Výplata zálohy bude uskutečněna výhradně na základě řádně vyplněného a schváleného cestovního příkazu. </w:t>
      </w:r>
      <w:r w:rsidR="006C2923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Záloha </w:t>
      </w:r>
      <w:r w:rsidR="00C71D64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může být poskytnuta až do maximální výše finanční podpory </w:t>
      </w:r>
      <w:r w:rsidR="003C3FDF" w:rsidRPr="00E075A5">
        <w:rPr>
          <w:rFonts w:asciiTheme="minorHAnsi" w:hAnsiTheme="minorHAnsi" w:cstheme="minorHAnsi"/>
          <w:sz w:val="21"/>
          <w:szCs w:val="21"/>
          <w:lang w:val="cs-CZ"/>
        </w:rPr>
        <w:t>viz Článek 3.4</w:t>
      </w:r>
      <w:r w:rsidR="00E075A5">
        <w:rPr>
          <w:rFonts w:asciiTheme="minorHAnsi" w:hAnsiTheme="minorHAnsi" w:cstheme="minorHAnsi"/>
          <w:sz w:val="21"/>
          <w:szCs w:val="21"/>
          <w:lang w:val="cs-CZ"/>
        </w:rPr>
        <w:t>, která je předpokládanou maximální výší cestovních náhrad</w:t>
      </w:r>
      <w:r w:rsidR="008331EB">
        <w:rPr>
          <w:rFonts w:asciiTheme="minorHAnsi" w:hAnsiTheme="minorHAnsi" w:cstheme="minorHAnsi"/>
          <w:sz w:val="21"/>
          <w:szCs w:val="21"/>
          <w:lang w:val="cs-CZ"/>
        </w:rPr>
        <w:t xml:space="preserve"> poskytovanou ze zdrojů programu Erasmus+</w:t>
      </w:r>
      <w:r w:rsidR="00E8025B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2FFE1774" w14:textId="5117119B" w:rsidR="00E77350" w:rsidRDefault="00F773E5" w:rsidP="00F773E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výplatu zálohy odmítnout, což učiní zvolením možnosti NE v bodě </w:t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2BBEA5F" w14:textId="39370140" w:rsidR="00E8025B" w:rsidRPr="00E8025B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 w:rsidRPr="008713B2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Účastník žádá o výplatu zálohy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34AAD9B7" w14:textId="7D0725C3" w:rsidR="00E8025B" w:rsidRPr="00E8025B" w:rsidRDefault="00E8025B" w:rsidP="00E8025B">
      <w:pPr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hAnsiTheme="minorHAnsi" w:cstheme="minorHAnsi"/>
            <w:sz w:val="21"/>
            <w:szCs w:val="21"/>
            <w:lang w:val="cs-CZ"/>
          </w:rPr>
          <w:id w:val="36109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hAnsiTheme="minorHAnsi" w:cstheme="minorHAnsi"/>
          <w:sz w:val="21"/>
          <w:szCs w:val="21"/>
          <w:lang w:val="cs-CZ"/>
        </w:rPr>
        <w:t xml:space="preserve"> ANO</w:t>
      </w:r>
    </w:p>
    <w:p w14:paraId="5E0804C8" w14:textId="244D5B12" w:rsidR="00307F69" w:rsidRPr="006C2923" w:rsidRDefault="00E8025B" w:rsidP="006C2923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192090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NE</w:t>
      </w:r>
    </w:p>
    <w:p w14:paraId="40FC0363" w14:textId="7E417C0D" w:rsidR="00E8025B" w:rsidRPr="00D42108" w:rsidRDefault="009C13A7" w:rsidP="00F773E5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4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Účastník žádá o tento způsob výplaty zálohy:</w:t>
      </w:r>
    </w:p>
    <w:p w14:paraId="6671AECE" w14:textId="05FA7014" w:rsidR="00E36448" w:rsidRPr="00D42108" w:rsidRDefault="00E8025B" w:rsidP="009459AF">
      <w:pPr>
        <w:ind w:left="567" w:hanging="283"/>
        <w:jc w:val="both"/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</w:pPr>
      <w:r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highlight w:val="yellow"/>
            <w:lang w:val="cs-CZ"/>
          </w:rPr>
          <w:id w:val="-21471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 w:rsidRPr="00D42108">
            <w:rPr>
              <w:rFonts w:ascii="MS Gothic" w:eastAsia="MS Gothic" w:hAnsi="MS Gothic" w:cstheme="minorHAnsi" w:hint="eastAsia"/>
              <w:sz w:val="21"/>
              <w:szCs w:val="21"/>
              <w:highlight w:val="yellow"/>
              <w:lang w:val="cs-CZ"/>
            </w:rPr>
            <w:t>☐</w:t>
          </w:r>
        </w:sdtContent>
      </w:sdt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v hotovosti pokladnou v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měně</w:t>
      </w:r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</w:t>
      </w:r>
      <w:r w:rsidR="00DA1A81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EUR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;</w:t>
      </w:r>
    </w:p>
    <w:p w14:paraId="1E4497C0" w14:textId="293B7F9A" w:rsidR="009459AF" w:rsidRDefault="00E8076A" w:rsidP="00E36448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sdt>
        <w:sdtPr>
          <w:rPr>
            <w:rFonts w:asciiTheme="minorHAnsi" w:eastAsia="MS Gothic" w:hAnsiTheme="minorHAnsi" w:cstheme="minorHAnsi"/>
            <w:sz w:val="21"/>
            <w:szCs w:val="21"/>
            <w:highlight w:val="yellow"/>
            <w:lang w:val="cs-CZ"/>
          </w:rPr>
          <w:id w:val="-19520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5B" w:rsidRPr="00D42108">
            <w:rPr>
              <w:rFonts w:ascii="MS Gothic" w:eastAsia="MS Gothic" w:hAnsi="MS Gothic" w:cstheme="minorHAnsi" w:hint="eastAsia"/>
              <w:sz w:val="21"/>
              <w:szCs w:val="21"/>
              <w:highlight w:val="yellow"/>
              <w:lang w:val="cs-CZ"/>
            </w:rPr>
            <w:t>☐</w:t>
          </w:r>
        </w:sdtContent>
      </w:sdt>
      <w:r w:rsidR="00E8025B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převodem na bankovní účet účastníka v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 měně </w:t>
      </w:r>
      <w:r w:rsidR="00DA1A81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8025B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CZK</w:t>
      </w:r>
      <w:r w:rsidR="00D42108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</w:t>
      </w:r>
    </w:p>
    <w:p w14:paraId="4043A571" w14:textId="68CDA9BC" w:rsidR="00E075A5" w:rsidRDefault="00E075A5" w:rsidP="00E36448">
      <w:pPr>
        <w:ind w:left="720"/>
        <w:jc w:val="both"/>
        <w:rPr>
          <w:rFonts w:asciiTheme="minorHAnsi" w:eastAsia="MS Gothic" w:hAnsiTheme="minorHAnsi" w:cstheme="minorHAnsi"/>
          <w:sz w:val="18"/>
          <w:szCs w:val="18"/>
          <w:lang w:val="cs-CZ"/>
        </w:rPr>
      </w:pPr>
      <w:r>
        <w:rPr>
          <w:rFonts w:asciiTheme="minorHAnsi" w:eastAsia="MS Gothic" w:hAnsiTheme="minorHAnsi" w:cstheme="minorHAnsi"/>
          <w:sz w:val="18"/>
          <w:szCs w:val="18"/>
          <w:lang w:val="cs-CZ"/>
        </w:rPr>
        <w:t>(</w:t>
      </w:r>
      <w:r w:rsidR="00D42108">
        <w:rPr>
          <w:rFonts w:asciiTheme="minorHAnsi" w:eastAsia="MS Gothic" w:hAnsiTheme="minorHAnsi" w:cstheme="minorHAnsi"/>
          <w:sz w:val="18"/>
          <w:szCs w:val="18"/>
          <w:lang w:val="cs-CZ"/>
        </w:rPr>
        <w:t>V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zhledem k tomu, že záloha může být poskytnuta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až 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>do maximální výše finanční podpory viz Článek 3.4, která je předpokládanou maximální výší cestovních náhrad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poskytovaných ze zdrojů EU Erasmus+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, a která je vyjádřena v EUR,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>pro vyjádření částky zálohy v CZK použije účastník směnný kurz ČNB platný ke dni schválení cestovního příkazu v listinné podobě pracovníkem oprávněným k povolení cesty, resp. platný ke dni</w:t>
      </w:r>
      <w:r w:rsidR="00264A14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vytvoření elektronického cestovního příkazu.</w:t>
      </w:r>
      <w:r w:rsidR="00D42108">
        <w:rPr>
          <w:rFonts w:asciiTheme="minorHAnsi" w:eastAsia="MS Gothic" w:hAnsiTheme="minorHAnsi" w:cstheme="minorHAnsi"/>
          <w:sz w:val="18"/>
          <w:szCs w:val="18"/>
          <w:lang w:val="cs-CZ"/>
        </w:rPr>
        <w:t>)</w:t>
      </w:r>
      <w:r w:rsidR="00264A14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  <w:r w:rsidR="006C292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</w:p>
    <w:p w14:paraId="0BBA1018" w14:textId="76EE4492" w:rsidR="009C13A7" w:rsidRPr="00DE25F3" w:rsidRDefault="009459AF" w:rsidP="00DE25F3">
      <w:pPr>
        <w:ind w:left="720"/>
        <w:jc w:val="both"/>
        <w:rPr>
          <w:rFonts w:asciiTheme="minorHAnsi" w:eastAsia="MS Gothic" w:hAnsiTheme="minorHAnsi" w:cstheme="minorHAnsi"/>
          <w:sz w:val="19"/>
          <w:szCs w:val="19"/>
          <w:lang w:val="cs-CZ"/>
        </w:rPr>
      </w:pPr>
      <w:r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(</w:t>
      </w:r>
      <w:r w:rsidR="00D42108">
        <w:rPr>
          <w:rFonts w:asciiTheme="minorHAnsi" w:eastAsia="MS Gothic" w:hAnsiTheme="minorHAnsi" w:cstheme="minorHAnsi"/>
          <w:b/>
          <w:bCs/>
          <w:sz w:val="19"/>
          <w:szCs w:val="19"/>
          <w:lang w:val="cs-CZ"/>
        </w:rPr>
        <w:t>Z</w:t>
      </w:r>
      <w:r w:rsidRPr="005A394F">
        <w:rPr>
          <w:rFonts w:asciiTheme="minorHAnsi" w:eastAsia="MS Gothic" w:hAnsiTheme="minorHAnsi" w:cstheme="minorHAnsi"/>
          <w:b/>
          <w:bCs/>
          <w:sz w:val="19"/>
          <w:szCs w:val="19"/>
          <w:lang w:val="cs-CZ"/>
        </w:rPr>
        <w:t>áloha bude vyplacena na bankovní účet shodný s bankovním účtem, na jaký je účastníkovi zasílána mzda</w:t>
      </w:r>
      <w:r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)</w:t>
      </w:r>
      <w:r w:rsidR="00D42108">
        <w:rPr>
          <w:rFonts w:asciiTheme="minorHAnsi" w:eastAsia="MS Gothic" w:hAnsiTheme="minorHAnsi" w:cstheme="minorHAnsi"/>
          <w:sz w:val="19"/>
          <w:szCs w:val="19"/>
          <w:lang w:val="cs-CZ"/>
        </w:rPr>
        <w:t>.</w:t>
      </w:r>
    </w:p>
    <w:p w14:paraId="7929005D" w14:textId="22D587C8" w:rsidR="00605F02" w:rsidRPr="009A7AB2" w:rsidRDefault="009C13A7" w:rsidP="00E075A5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.5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E075A5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Pokud účastník realizuje mobilitu na základě cestovního příkazu v listinné podobě, podklad k výplatě zálohy zajišťuje a na pokladnu Rektorátu JU předává ÚZV. </w:t>
      </w:r>
      <w:r w:rsidR="008331E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Pokud účastník realizuje mobilitu na základě cestovního příkazu v elektronické podobě, žádá o zálohu účastník v elektronickém formuláři cestovního příkazu. V takovém případě je účastník povinen zkontrolovat, že požadovaná výše zálohy v bodě 5.4 je shodná s výší zálohy v rámci elektronického cestovního příkazu.  </w:t>
      </w:r>
      <w:r w:rsidR="00E075A5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 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19F6A3E9" w14:textId="2C5685CA" w:rsidR="00BE7DC1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Účastník musí prokázat skutečné datum zahájení a ukončení mobility ve formě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>potvrzení o účasti na mobilitě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Teaching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>) vystaveném přijímající organizací. Účastní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>k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předloží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ORIGINÁL </w:t>
      </w:r>
      <w:r w:rsidR="00BE7DC1" w:rsidRPr="009C13A7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s razítkem a podpisem přijímající organizace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 neprodleně po návratu z mobility. 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D5C34C1" w14:textId="79DC53F0" w:rsidR="009549B5" w:rsidRPr="009A7AB2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Zaměstnanec je povinen do 10 pracovních dnů po dni ukončení pracovní cesty předložit písemné doklady k vyúčtování cestovních náhrad. Vyúčtování cestovních náhrad se řídí </w:t>
      </w:r>
      <w:r w:rsidR="00850A06">
        <w:rPr>
          <w:rFonts w:asciiTheme="minorHAnsi" w:hAnsiTheme="minorHAnsi" w:cstheme="minorHAnsi"/>
          <w:sz w:val="21"/>
          <w:szCs w:val="21"/>
          <w:lang w:val="cs-CZ"/>
        </w:rPr>
        <w:t xml:space="preserve">vnitřními předpisy organizace, zejména 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Opatřením kvestorky č. K61 a souvisejícími dodatky.  </w:t>
      </w:r>
    </w:p>
    <w:p w14:paraId="122ECC72" w14:textId="3693BE23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E42AFB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VRÁCENÍ FINANČNÍ PODPORY ÚČASTNÍKEM</w:t>
      </w:r>
    </w:p>
    <w:p w14:paraId="7B1217EC" w14:textId="767A526B" w:rsidR="00597A5B" w:rsidRPr="00605F02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spellStart"/>
      <w:r w:rsidR="00E42AFB">
        <w:rPr>
          <w:rFonts w:asciiTheme="minorHAnsi" w:hAnsiTheme="minorHAnsi" w:cstheme="minorHAnsi"/>
          <w:sz w:val="21"/>
          <w:szCs w:val="21"/>
          <w:lang w:val="cs-CZ"/>
        </w:rPr>
        <w:t>Jesltiže</w:t>
      </w:r>
      <w:proofErr w:type="spellEnd"/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nedodrží podmínky smlouvy nebo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vypoví smlouvu před jejím ukončením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 z jiných důvodů, než je uvedeno v článku 13.1,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je povinen vrátit již vyplacenou částku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>finanční podpory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pokud se s vysílající organizací nedohodne jinak.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Taková dohoda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090E743B" w:rsidR="00200419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>výukový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 pobyt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6415F68B" w14:textId="77777777" w:rsidR="001D7A35" w:rsidRPr="001D7A35" w:rsidRDefault="001D7A35" w:rsidP="00E075A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Výukový pobyt v zahraničí umožňuje pedagogickým pracovníkům vysokoškolských institucí nebo zaměstnancům z podnikové sféry vyučovat na zahraniční partnerské vysokoškolské instituci. Mobilita zaměstnanců za účelem výuky se může uskutečnit v jakémkoli oboru studia. </w:t>
      </w:r>
    </w:p>
    <w:p w14:paraId="6EAA84F0" w14:textId="39DF4D24" w:rsidR="001D7A35" w:rsidRPr="00CB223C" w:rsidRDefault="001D7A35" w:rsidP="00E075A5">
      <w:pPr>
        <w:pStyle w:val="Odstavecseseznamem"/>
        <w:numPr>
          <w:ilvl w:val="0"/>
          <w:numId w:val="21"/>
        </w:numPr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 v zahraničí v rámci mobility zaměstnanců může být kombinací výukového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pobytu a školení. Jakýkoli výukový pobyt nebo školení lze uskutečnit formou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kombinované mobility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</w:p>
    <w:p w14:paraId="069EBA76" w14:textId="602F94BD" w:rsidR="00CB223C" w:rsidRDefault="001D7A35" w:rsidP="00E075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Doba trvání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musí činit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2 až 60 dnů fyzické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, </w:t>
      </w:r>
      <w:r w:rsidR="00AA173A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resp. 5 až 60 dnů fyzické mobility v případě tzv. mezinárodní mobility, 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bez započtení doby na cestu. </w:t>
      </w:r>
    </w:p>
    <w:p w14:paraId="12946A28" w14:textId="6E853066" w:rsidR="001D7A35" w:rsidRPr="001D7A35" w:rsidRDefault="001D7A35" w:rsidP="00E075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 případě pozvaných pracovníků z podniků je minimální doba trvání 1 den fyzické mobility. </w:t>
      </w:r>
    </w:p>
    <w:p w14:paraId="35C467B7" w14:textId="77777777" w:rsidR="001D7A35" w:rsidRPr="001D7A35" w:rsidRDefault="001D7A35" w:rsidP="00E075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Ve všech případech musí být minimální počet dnů tvořen po sobě jdoucími dny. </w:t>
      </w:r>
    </w:p>
    <w:p w14:paraId="546F7C22" w14:textId="77777777" w:rsidR="001D7A35" w:rsidRPr="00CB223C" w:rsidRDefault="001D7A35" w:rsidP="00E075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Období fyzické mobility lze přerušit. Doba přerušení se nezapočítává do doby trvání mobility. </w:t>
      </w:r>
    </w:p>
    <w:p w14:paraId="401CF481" w14:textId="77777777" w:rsidR="001D7A35" w:rsidRPr="00CB223C" w:rsidRDefault="001D7A35" w:rsidP="00E075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Výuka musí trvat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nejméně 8 hodin za týden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(případně za jakoukoli jinou dobu pobytu kratší než týden). V případě, že mobilita trvá déle než jeden týden, měl by být minimální počet vyučovacích hodin za neúplný týden úměrný délce trvání tohoto týdne. </w:t>
      </w:r>
    </w:p>
    <w:p w14:paraId="05DCB277" w14:textId="77777777" w:rsidR="001D7A35" w:rsidRPr="00CB223C" w:rsidRDefault="001D7A35" w:rsidP="00E075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Minimální počet vyučovacích hodin pro zaměstnance pozvané z podniků není stanoven. </w:t>
      </w:r>
    </w:p>
    <w:p w14:paraId="569F6A39" w14:textId="00C263FF" w:rsidR="001D7A35" w:rsidRPr="00CB223C" w:rsidRDefault="001D7A35" w:rsidP="00E075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Pokud je výuková činnost spojena se školením v průběhu jediného období v zahraničí, snižuje se minimální počet vyučovacích hodin týdně (nebo za jakoukoli jinou dobu pobytu kratší než týden) na 4 hodiny. </w:t>
      </w:r>
    </w:p>
    <w:p w14:paraId="2CBD5B52" w14:textId="34218772" w:rsidR="001D7A35" w:rsidRPr="00CB223C" w:rsidRDefault="00CB223C" w:rsidP="00E075A5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134" w:hanging="283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V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zdálenost mezi místem původu a místem aktivity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se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stanov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uje 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pomocí kalkulačky vzdáleností, kterou poskytuje Evropská komise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: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https://erasmus-plus.ec.europa.eu/resources-and-tools/distance-calculator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.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Výchozím místem je místo, kde se nachází vysílající instituce. Místo konání je místo, kde se nachází přijímající instituce. </w:t>
      </w:r>
    </w:p>
    <w:p w14:paraId="64F4CFF5" w14:textId="469DBDDF" w:rsidR="00D079DF" w:rsidRPr="009A7AB2" w:rsidRDefault="00AB7A33" w:rsidP="00AA173A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  <w:r w:rsidR="003414FF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6A6760A9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Organizace zajistí, aby měl účastník </w:t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před zahájením mobility 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2F70C2C6" w14:textId="4DCEE1CF" w:rsidR="00620F57" w:rsidRDefault="0030761D" w:rsidP="00620F57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bude k této grantové smlouvě přiložen 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, a níže účastník poskytne informace k pojistnému plnění:</w:t>
      </w:r>
    </w:p>
    <w:p w14:paraId="30AC7168" w14:textId="5BA5B9B4" w:rsidR="00620F57" w:rsidRPr="008713B2" w:rsidRDefault="00620F57" w:rsidP="00620F57">
      <w:pPr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Poskytovatel pojištění: </w:t>
      </w:r>
    </w:p>
    <w:p w14:paraId="008A9B52" w14:textId="3B29C78C" w:rsidR="00686D1D" w:rsidRPr="00605F02" w:rsidRDefault="00620F57" w:rsidP="00620F57">
      <w:pPr>
        <w:spacing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pojištění/pojistné smlouvy: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6DD9FEBD" w14:textId="540D4B8F" w:rsidR="00E8477B" w:rsidRPr="00E5657E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proofErr w:type="gramStart"/>
      <w:r w:rsidRPr="00E5657E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E5657E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E5657E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30761D" w:rsidRPr="00E5657E">
        <w:rPr>
          <w:rFonts w:asciiTheme="minorHAnsi" w:hAnsiTheme="minorHAnsi" w:cstheme="minorHAnsi"/>
          <w:sz w:val="21"/>
          <w:szCs w:val="21"/>
          <w:lang w:val="cs-CZ"/>
        </w:rPr>
        <w:t>Pojistné krytí zahrnuje minimálně zdravotní pojištění</w:t>
      </w:r>
      <w:r w:rsidR="00D338EA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E5657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785D26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E5657E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E5657E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E5657E">
        <w:rPr>
          <w:rFonts w:asciiTheme="minorHAnsi" w:hAnsiTheme="minorHAnsi" w:cstheme="minorHAnsi"/>
          <w:lang w:val="cs-CZ"/>
        </w:rPr>
        <w:t xml:space="preserve">V případě mobility v rámci EU bude národní zdravotní pojištění účastníka zahrnovat základní pojištění na dobu jeho pobytu v jiné zemi EU prostřednictvím evropského průkazu zdravotního pojištění. </w:t>
      </w:r>
      <w:r w:rsidR="0030761D" w:rsidRPr="00785D26">
        <w:rPr>
          <w:rFonts w:asciiTheme="minorHAnsi" w:hAnsiTheme="minorHAnsi" w:cstheme="minorHAnsi"/>
          <w:lang w:val="cs-CZ"/>
        </w:rPr>
        <w:t>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74B2805D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</w:t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 na dobu trvání mobility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87335ED" w14:textId="4A7CDA57" w:rsidR="0030761D" w:rsidRPr="00785D26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lastRenderedPageBreak/>
        <w:t xml:space="preserve">ČLÁNEK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16158871" w:rsidR="00611249" w:rsidRPr="008713B2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2999ADD1" w14:textId="104CE2E0" w:rsidR="009B7B70" w:rsidRPr="00785D26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3C4CED29" w:rsidR="00D079DF" w:rsidRPr="009A7AB2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40C34B9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předpisy.</w:t>
      </w:r>
    </w:p>
    <w:p w14:paraId="6DDA7B6C" w14:textId="67035EED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Strany se zavazují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1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785D26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E5657E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na základě písemné žádosti získat přístup ke svým osobním údajům a opravit informace, které jsou nepřesné nebo neúplné. </w:t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785D26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5128BF26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>Každá ze stran může k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dykoliv smlouvu pozastavit, pokud se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druhá strana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dopustila nebo je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podezřelá z toho, že se dopustila:</w:t>
      </w:r>
    </w:p>
    <w:p w14:paraId="55FBEBAD" w14:textId="37DCA907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lastRenderedPageBreak/>
        <w:t>13.3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785D26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5A8CDBAB" w:rsidR="004C4F1B" w:rsidRPr="00785D26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785D26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V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 takovém 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případě ukončení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>bude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mít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Veškeré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zbývající prostředky musí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účastník vrátit.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BE8B5DE" w14:textId="129C192D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některá ze stran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dopustila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podvodu či korupce nebo je zapojena do zločinného spolčení, praní špinavých peněz, trestných činů spojených s terorismem (včetně financování terorismu), dětskou prací nebo obchodováním s lidmi; může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druhá strana smlouvu vypovědět formálním oznámením.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0C5E5793" w14:textId="53B0EA89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</w:t>
      </w:r>
      <w:proofErr w:type="spellStart"/>
      <w:r w:rsidRPr="00785D26">
        <w:rPr>
          <w:rFonts w:asciiTheme="minorHAnsi" w:hAnsiTheme="minorHAnsi" w:cstheme="minorHAnsi"/>
          <w:sz w:val="21"/>
          <w:szCs w:val="21"/>
          <w:lang w:val="cs-CZ"/>
        </w:rPr>
        <w:t>parvo</w:t>
      </w:r>
      <w:proofErr w:type="spellEnd"/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785D26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785D26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785D26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785D26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785D26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785D26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425A477C" w14:textId="1902E18B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785D26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12A197F1" w14:textId="2583E877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785D26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lastRenderedPageBreak/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785D26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2E213242" w14:textId="55A96384" w:rsidR="007D2907" w:rsidRPr="00785D26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7277F2CE" w14:textId="4DEFD50F" w:rsidR="00266375" w:rsidRPr="00785D26" w:rsidRDefault="00266375" w:rsidP="0026637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VSTUP V PLATNOST</w:t>
      </w:r>
    </w:p>
    <w:p w14:paraId="7EAAC331" w14:textId="74DD1940" w:rsidR="00266375" w:rsidRPr="00785D26" w:rsidRDefault="00266375" w:rsidP="0026637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>
        <w:rPr>
          <w:rFonts w:asciiTheme="minorHAnsi" w:hAnsiTheme="minorHAnsi" w:cstheme="minorHAnsi"/>
          <w:sz w:val="21"/>
          <w:szCs w:val="21"/>
          <w:lang w:val="pl-PL"/>
        </w:rPr>
        <w:t>9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sz w:val="21"/>
          <w:szCs w:val="21"/>
          <w:lang w:val="pl-PL"/>
        </w:rPr>
        <w:t xml:space="preserve">Tato smlouva vstupuje v platnost dnem podpisu poslední z obou stran. </w:t>
      </w:r>
    </w:p>
    <w:p w14:paraId="0707E3D3" w14:textId="77777777" w:rsidR="007A0F4E" w:rsidRDefault="007A0F4E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43818443" w14:textId="77777777" w:rsidR="007A0F4E" w:rsidRDefault="007A0F4E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591B3E3F" w14:textId="54BBCBAD" w:rsidR="004C4F1B" w:rsidRPr="00785D26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7C128921" w14:textId="77777777" w:rsidR="00167AE2" w:rsidRPr="00785D26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785D26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7AF766FD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11249" w:rsidRPr="00785D26">
        <w:rPr>
          <w:rFonts w:asciiTheme="minorHAnsi" w:hAnsiTheme="minorHAnsi" w:cstheme="minorHAnsi"/>
          <w:sz w:val="22"/>
          <w:szCs w:val="22"/>
          <w:lang w:val="pl-PL"/>
        </w:rPr>
        <w:t>Mgr. Kateřina Vinická</w:t>
      </w:r>
    </w:p>
    <w:p w14:paraId="693CCD49" w14:textId="097EA0AD" w:rsidR="00894250" w:rsidRPr="00785D26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75656DD0" w14:textId="77777777" w:rsidR="004C4F1B" w:rsidRPr="00785D26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785D26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244B2D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A2D27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A721C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57B1C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B90FD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424FB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F7EDB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095C6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267ED1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476468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26B69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50B6E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97F625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AE887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8EC72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825D3B2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0FCD78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2101F3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8DEF72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E47F4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F0619F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468C39E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59B0D0" w14:textId="26F41EE3" w:rsidR="00137EB2" w:rsidRPr="00785D26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>Příloha</w:t>
      </w:r>
      <w:proofErr w:type="spellEnd"/>
      <w:r w:rsidR="2156E4C0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785D26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70B48A56" w:rsidR="00137EB2" w:rsidRPr="00A26B41" w:rsidRDefault="00966483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Program mobility zaměstnanců na výukový pobyt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Mobility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Agreement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for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Teaching</w:t>
      </w:r>
      <w:proofErr w:type="spellEnd"/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1BFDEF8D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F47E50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526EA90A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7E50">
      <w:rPr>
        <w:rStyle w:val="slostrnky"/>
        <w:noProof/>
      </w:rPr>
      <w:t>1</w:t>
    </w:r>
    <w:r w:rsidR="00F47E50">
      <w:rPr>
        <w:rStyle w:val="slostrnky"/>
        <w:noProof/>
      </w:rPr>
      <w:t>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2CDC5EEA" w14:textId="5A9115DC" w:rsidR="009A7AB2" w:rsidRPr="009A7AB2" w:rsidRDefault="009A7AB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 xml:space="preserve">U přílohy I není nutné posílat originál dokumentu s podpisem : přípustné </w:t>
      </w:r>
      <w:r w:rsidR="00E5657E"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57060D" w:rsidRPr="0057060D" w:rsidRDefault="0057060D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785D26">
        <w:rPr>
          <w:lang w:val="cs-CZ"/>
        </w:rPr>
        <w:t xml:space="preserve"> </w:t>
      </w:r>
      <w:r w:rsidRPr="00785D26">
        <w:rPr>
          <w:lang w:val="cs-CZ"/>
        </w:rPr>
        <w:tab/>
      </w:r>
      <w:r w:rsidRPr="00785D26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</w:t>
      </w:r>
      <w:proofErr w:type="gramStart"/>
      <w:r w:rsidRPr="00785D26">
        <w:rPr>
          <w:rFonts w:asciiTheme="minorHAnsi" w:hAnsiTheme="minorHAnsi" w:cstheme="minorHAnsi"/>
          <w:sz w:val="18"/>
          <w:szCs w:val="18"/>
          <w:lang w:val="cs-CZ"/>
        </w:rPr>
        <w:t>se</w:t>
      </w:r>
      <w:proofErr w:type="gramEnd"/>
      <w:r w:rsidRPr="00785D26">
        <w:rPr>
          <w:rFonts w:asciiTheme="minorHAnsi" w:hAnsiTheme="minorHAnsi" w:cstheme="minorHAnsi"/>
          <w:sz w:val="18"/>
          <w:szCs w:val="18"/>
          <w:lang w:val="cs-CZ"/>
        </w:rPr>
        <w:t xml:space="preserve">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71A0F7D8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 w:rsidR="005A394F">
      <w:rPr>
        <w:rFonts w:ascii="Arial Narrow" w:hAnsi="Arial Narrow" w:cs="Arial"/>
        <w:sz w:val="18"/>
        <w:szCs w:val="18"/>
        <w:u w:val="single"/>
        <w:lang w:val="en-GB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99261704">
    <w:abstractNumId w:val="1"/>
  </w:num>
  <w:num w:numId="2" w16cid:durableId="762531689">
    <w:abstractNumId w:val="3"/>
  </w:num>
  <w:num w:numId="3" w16cid:durableId="1283465600">
    <w:abstractNumId w:val="7"/>
  </w:num>
  <w:num w:numId="4" w16cid:durableId="1867406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203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4611614">
    <w:abstractNumId w:val="12"/>
  </w:num>
  <w:num w:numId="7" w16cid:durableId="147229024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028363072">
    <w:abstractNumId w:val="0"/>
  </w:num>
  <w:num w:numId="9" w16cid:durableId="1519731514">
    <w:abstractNumId w:val="9"/>
  </w:num>
  <w:num w:numId="10" w16cid:durableId="56704875">
    <w:abstractNumId w:val="14"/>
  </w:num>
  <w:num w:numId="11" w16cid:durableId="2092699874">
    <w:abstractNumId w:val="11"/>
  </w:num>
  <w:num w:numId="12" w16cid:durableId="1157306037">
    <w:abstractNumId w:val="11"/>
  </w:num>
  <w:num w:numId="13" w16cid:durableId="1018459583">
    <w:abstractNumId w:val="11"/>
  </w:num>
  <w:num w:numId="14" w16cid:durableId="1460994794">
    <w:abstractNumId w:val="13"/>
  </w:num>
  <w:num w:numId="15" w16cid:durableId="586579854">
    <w:abstractNumId w:val="15"/>
  </w:num>
  <w:num w:numId="16" w16cid:durableId="233783739">
    <w:abstractNumId w:val="19"/>
  </w:num>
  <w:num w:numId="17" w16cid:durableId="328680107">
    <w:abstractNumId w:val="18"/>
  </w:num>
  <w:num w:numId="18" w16cid:durableId="1358506574">
    <w:abstractNumId w:val="16"/>
  </w:num>
  <w:num w:numId="19" w16cid:durableId="480148898">
    <w:abstractNumId w:val="6"/>
  </w:num>
  <w:num w:numId="20" w16cid:durableId="800422978">
    <w:abstractNumId w:val="10"/>
  </w:num>
  <w:num w:numId="21" w16cid:durableId="1553426826">
    <w:abstractNumId w:val="8"/>
  </w:num>
  <w:num w:numId="22" w16cid:durableId="10361981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372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A14"/>
    <w:rsid w:val="00266375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A748F"/>
    <w:rsid w:val="003B0612"/>
    <w:rsid w:val="003B1589"/>
    <w:rsid w:val="003B249D"/>
    <w:rsid w:val="003B2A22"/>
    <w:rsid w:val="003B6020"/>
    <w:rsid w:val="003C128E"/>
    <w:rsid w:val="003C3FDF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1E5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1762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94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6BEC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28D"/>
    <w:rsid w:val="00780990"/>
    <w:rsid w:val="00781566"/>
    <w:rsid w:val="0078180C"/>
    <w:rsid w:val="00784469"/>
    <w:rsid w:val="00784CDD"/>
    <w:rsid w:val="00785D26"/>
    <w:rsid w:val="00791896"/>
    <w:rsid w:val="0079267E"/>
    <w:rsid w:val="007937E9"/>
    <w:rsid w:val="00795729"/>
    <w:rsid w:val="007A0F4E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31EB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7445"/>
    <w:rsid w:val="008605BE"/>
    <w:rsid w:val="00863461"/>
    <w:rsid w:val="008713B2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173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38DB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1D64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10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1A81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25F3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6613"/>
    <w:rsid w:val="00DF706B"/>
    <w:rsid w:val="00DF718E"/>
    <w:rsid w:val="00E00C7D"/>
    <w:rsid w:val="00E027D5"/>
    <w:rsid w:val="00E07160"/>
    <w:rsid w:val="00E075A5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2AFB"/>
    <w:rsid w:val="00E465BA"/>
    <w:rsid w:val="00E4766B"/>
    <w:rsid w:val="00E47D19"/>
    <w:rsid w:val="00E52097"/>
    <w:rsid w:val="00E53608"/>
    <w:rsid w:val="00E5641F"/>
    <w:rsid w:val="00E564A1"/>
    <w:rsid w:val="00E5657E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025B"/>
    <w:rsid w:val="00E8076A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47E50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773E5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48A147EDF8704814BBC930CF7E46A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4958-E9D5-48E5-922E-3BC5818FFF61}"/>
      </w:docPartPr>
      <w:docPartBody>
        <w:p w:rsidR="002E13FB" w:rsidRDefault="002E13FB" w:rsidP="002E13FB">
          <w:pPr>
            <w:pStyle w:val="48A147EDF8704814BBC930CF7E46A41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EF5BAF00794A9D98A4FF345B28A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D0CA-EDEF-4913-BAB8-C1C649F1924E}"/>
      </w:docPartPr>
      <w:docPartBody>
        <w:p w:rsidR="002E13FB" w:rsidRDefault="002E13FB" w:rsidP="002E13FB">
          <w:pPr>
            <w:pStyle w:val="E7EF5BAF00794A9D98A4FF345B28ACD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212AF"/>
    <w:rsid w:val="00170699"/>
    <w:rsid w:val="002E13FB"/>
    <w:rsid w:val="003B0612"/>
    <w:rsid w:val="005152EE"/>
    <w:rsid w:val="005B1EEA"/>
    <w:rsid w:val="00697C2D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13FB"/>
    <w:rPr>
      <w:color w:val="808080"/>
    </w:rPr>
  </w:style>
  <w:style w:type="paragraph" w:customStyle="1" w:styleId="48A147EDF8704814BBC930CF7E46A411">
    <w:name w:val="48A147EDF8704814BBC930CF7E46A41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7EF5BAF00794A9D98A4FF345B28ACD1">
    <w:name w:val="E7EF5BAF00794A9D98A4FF345B28ACD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1ABEA-FE53-4E5D-9A60-12450D537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3267</Words>
  <Characters>20039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3</cp:revision>
  <cp:lastPrinted>2015-03-04T15:51:00Z</cp:lastPrinted>
  <dcterms:created xsi:type="dcterms:W3CDTF">2025-07-08T11:27:00Z</dcterms:created>
  <dcterms:modified xsi:type="dcterms:W3CDTF">2025-07-08T13:59:00Z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